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80" w:rsidRPr="000B4792" w:rsidRDefault="00442D05" w:rsidP="00403598">
      <w:pPr>
        <w:tabs>
          <w:tab w:val="left" w:pos="5670"/>
        </w:tabs>
        <w:spacing w:before="66" w:line="299" w:lineRule="exact"/>
        <w:ind w:left="3940" w:right="3689"/>
        <w:jc w:val="center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ПРОТОКОЛ</w:t>
      </w:r>
    </w:p>
    <w:p w:rsidR="008D44D5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</w:t>
      </w:r>
      <w:r w:rsidR="00963141" w:rsidRPr="00963141">
        <w:rPr>
          <w:sz w:val="26"/>
          <w:szCs w:val="26"/>
        </w:rPr>
        <w:t>при осуществлении муниципального жилищного контроля на территории Пригородного сельского поселения Калачеевского муниципального района Воронежской области</w:t>
      </w:r>
    </w:p>
    <w:p w:rsidR="00963141" w:rsidRPr="000B4792" w:rsidRDefault="00963141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837741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п. Пригородный</w:t>
      </w:r>
      <w:r w:rsidR="005E75C4" w:rsidRPr="000B4792">
        <w:rPr>
          <w:sz w:val="26"/>
          <w:szCs w:val="26"/>
        </w:rPr>
        <w:t xml:space="preserve">                                                         </w:t>
      </w:r>
      <w:r w:rsidR="0026326F">
        <w:rPr>
          <w:sz w:val="26"/>
          <w:szCs w:val="26"/>
        </w:rPr>
        <w:t xml:space="preserve">                      0</w:t>
      </w:r>
      <w:r w:rsidR="00AC2F3E">
        <w:rPr>
          <w:sz w:val="26"/>
          <w:szCs w:val="26"/>
        </w:rPr>
        <w:t>5</w:t>
      </w:r>
      <w:r w:rsidR="0026326F">
        <w:rPr>
          <w:sz w:val="26"/>
          <w:szCs w:val="26"/>
        </w:rPr>
        <w:t>.12.202</w:t>
      </w:r>
      <w:r w:rsidR="007E56CF">
        <w:rPr>
          <w:sz w:val="26"/>
          <w:szCs w:val="26"/>
        </w:rPr>
        <w:t>4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 w:rsidP="00403598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</w:t>
      </w:r>
      <w:r w:rsidR="00963141" w:rsidRPr="00963141">
        <w:rPr>
          <w:sz w:val="26"/>
          <w:szCs w:val="26"/>
        </w:rPr>
        <w:t>при осуществлении муниципального жилищного контроля на территории Пригородного сельского поселения Калачеевского муниципального района Воронежской области</w:t>
      </w:r>
      <w:r w:rsidR="00A66F45" w:rsidRPr="000B4792">
        <w:rPr>
          <w:sz w:val="26"/>
          <w:szCs w:val="26"/>
        </w:rPr>
        <w:t>, проводится комиссией в составе:</w:t>
      </w: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22"/>
      </w:tblGrid>
      <w:tr w:rsidR="00837741" w:rsidRPr="000B4792" w:rsidTr="007E56CF">
        <w:tc>
          <w:tcPr>
            <w:tcW w:w="4737" w:type="dxa"/>
          </w:tcPr>
          <w:p w:rsidR="00837741" w:rsidRPr="000B4792" w:rsidRDefault="00837741" w:rsidP="00403598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722" w:type="dxa"/>
          </w:tcPr>
          <w:p w:rsidR="00837741" w:rsidRPr="00667A09" w:rsidRDefault="007E56CF" w:rsidP="00403598">
            <w:pPr>
              <w:rPr>
                <w:sz w:val="26"/>
                <w:szCs w:val="26"/>
              </w:rPr>
            </w:pPr>
            <w:proofErr w:type="spellStart"/>
            <w:r w:rsidRPr="00667A09">
              <w:rPr>
                <w:sz w:val="26"/>
                <w:szCs w:val="26"/>
              </w:rPr>
              <w:t>Камышанова</w:t>
            </w:r>
            <w:proofErr w:type="spellEnd"/>
            <w:r w:rsidRPr="00667A09">
              <w:rPr>
                <w:sz w:val="26"/>
                <w:szCs w:val="26"/>
              </w:rPr>
              <w:t xml:space="preserve"> Г.Н.</w:t>
            </w:r>
          </w:p>
        </w:tc>
      </w:tr>
      <w:tr w:rsidR="00837741" w:rsidRPr="000B4792" w:rsidTr="007E56CF">
        <w:tc>
          <w:tcPr>
            <w:tcW w:w="4737" w:type="dxa"/>
          </w:tcPr>
          <w:p w:rsidR="00837741" w:rsidRPr="000B4792" w:rsidRDefault="00837741" w:rsidP="00403598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4722" w:type="dxa"/>
          </w:tcPr>
          <w:p w:rsidR="00837741" w:rsidRPr="00667A09" w:rsidRDefault="007E56CF" w:rsidP="00403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Попова О. Ф. </w:t>
            </w:r>
          </w:p>
        </w:tc>
      </w:tr>
      <w:tr w:rsidR="00837741" w:rsidRPr="000B4792" w:rsidTr="007E56CF">
        <w:tc>
          <w:tcPr>
            <w:tcW w:w="4737" w:type="dxa"/>
          </w:tcPr>
          <w:p w:rsidR="00837741" w:rsidRPr="000B4792" w:rsidRDefault="00837741" w:rsidP="00403598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722" w:type="dxa"/>
          </w:tcPr>
          <w:p w:rsidR="00837741" w:rsidRPr="00667A09" w:rsidRDefault="0026326F" w:rsidP="00403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Ржевская Т. А.</w:t>
            </w:r>
            <w:r w:rsidR="00837741" w:rsidRPr="00667A09">
              <w:rPr>
                <w:sz w:val="26"/>
                <w:szCs w:val="26"/>
              </w:rPr>
              <w:t xml:space="preserve"> </w:t>
            </w:r>
          </w:p>
        </w:tc>
      </w:tr>
      <w:tr w:rsidR="00837741" w:rsidRPr="000B4792" w:rsidTr="007E56CF">
        <w:tc>
          <w:tcPr>
            <w:tcW w:w="4737" w:type="dxa"/>
          </w:tcPr>
          <w:p w:rsidR="00837741" w:rsidRPr="000B4792" w:rsidRDefault="00837741" w:rsidP="00403598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4722" w:type="dxa"/>
          </w:tcPr>
          <w:p w:rsidR="00837741" w:rsidRPr="00667A09" w:rsidRDefault="00837741" w:rsidP="00403598">
            <w:pPr>
              <w:rPr>
                <w:sz w:val="26"/>
                <w:szCs w:val="26"/>
              </w:rPr>
            </w:pPr>
            <w:proofErr w:type="spellStart"/>
            <w:r w:rsidRPr="00667A09">
              <w:rPr>
                <w:sz w:val="26"/>
                <w:szCs w:val="26"/>
              </w:rPr>
              <w:t>Ковярова</w:t>
            </w:r>
            <w:proofErr w:type="spellEnd"/>
            <w:r w:rsidRPr="00667A09">
              <w:rPr>
                <w:sz w:val="26"/>
                <w:szCs w:val="26"/>
              </w:rPr>
              <w:t xml:space="preserve"> Ю.А.</w:t>
            </w:r>
          </w:p>
        </w:tc>
      </w:tr>
      <w:tr w:rsidR="00837741" w:rsidRPr="000B4792" w:rsidTr="007E56CF">
        <w:tc>
          <w:tcPr>
            <w:tcW w:w="4737" w:type="dxa"/>
          </w:tcPr>
          <w:p w:rsidR="00837741" w:rsidRPr="000B4792" w:rsidRDefault="00837741" w:rsidP="00403598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4722" w:type="dxa"/>
          </w:tcPr>
          <w:p w:rsidR="00837741" w:rsidRPr="00667A09" w:rsidRDefault="00837741" w:rsidP="00403598">
            <w:pPr>
              <w:rPr>
                <w:sz w:val="26"/>
                <w:szCs w:val="26"/>
              </w:rPr>
            </w:pPr>
            <w:r w:rsidRPr="00667A09">
              <w:rPr>
                <w:sz w:val="26"/>
                <w:szCs w:val="26"/>
              </w:rPr>
              <w:t>Пономарева Е.А.</w:t>
            </w:r>
          </w:p>
        </w:tc>
      </w:tr>
    </w:tbl>
    <w:p w:rsidR="00313580" w:rsidRPr="000B4792" w:rsidRDefault="00442D05" w:rsidP="00403598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открывает</w:t>
      </w:r>
      <w:r w:rsidR="005E75C4" w:rsidRPr="000B4792">
        <w:rPr>
          <w:spacing w:val="1"/>
          <w:sz w:val="26"/>
          <w:szCs w:val="26"/>
        </w:rPr>
        <w:t xml:space="preserve"> </w:t>
      </w:r>
      <w:r w:rsidR="007E56CF">
        <w:rPr>
          <w:spacing w:val="1"/>
          <w:sz w:val="26"/>
          <w:szCs w:val="26"/>
        </w:rPr>
        <w:t xml:space="preserve">заместитель </w:t>
      </w:r>
      <w:r w:rsidR="00574259" w:rsidRPr="00574259">
        <w:rPr>
          <w:spacing w:val="1"/>
          <w:sz w:val="26"/>
          <w:szCs w:val="26"/>
        </w:rPr>
        <w:t>глав</w:t>
      </w:r>
      <w:r w:rsidR="007E56CF">
        <w:rPr>
          <w:spacing w:val="1"/>
          <w:sz w:val="26"/>
          <w:szCs w:val="26"/>
        </w:rPr>
        <w:t xml:space="preserve">ы администрации </w:t>
      </w:r>
      <w:r w:rsidR="00574259" w:rsidRPr="00574259">
        <w:rPr>
          <w:spacing w:val="1"/>
          <w:sz w:val="26"/>
          <w:szCs w:val="26"/>
        </w:rPr>
        <w:t xml:space="preserve">Пригородного сельского поселения Калачеевского муниципального района, председатель комиссии </w:t>
      </w:r>
      <w:r w:rsidR="005E75C4" w:rsidRPr="000B4792">
        <w:rPr>
          <w:sz w:val="26"/>
          <w:szCs w:val="26"/>
        </w:rPr>
        <w:t xml:space="preserve">по рассмотрению предложений по Проекту Программы профилактики рисков причинения вреда (ущерба) охраняемым законом ценностям </w:t>
      </w:r>
      <w:r w:rsidR="00963141" w:rsidRPr="00963141">
        <w:rPr>
          <w:sz w:val="26"/>
          <w:szCs w:val="26"/>
        </w:rPr>
        <w:t>при осуществлении муниципального жилищного контроля на территории Пригородного сельского поселения Калачеевского муниципального района Воронежской области</w:t>
      </w:r>
      <w:r w:rsidR="00963141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– </w:t>
      </w:r>
      <w:proofErr w:type="spellStart"/>
      <w:r w:rsidR="007E56CF">
        <w:rPr>
          <w:sz w:val="26"/>
          <w:szCs w:val="26"/>
        </w:rPr>
        <w:t>Камышанова</w:t>
      </w:r>
      <w:proofErr w:type="spellEnd"/>
      <w:r w:rsidR="007E56CF">
        <w:rPr>
          <w:sz w:val="26"/>
          <w:szCs w:val="26"/>
        </w:rPr>
        <w:t xml:space="preserve"> Г. Н.</w:t>
      </w:r>
    </w:p>
    <w:p w:rsidR="00313580" w:rsidRPr="000B4792" w:rsidRDefault="00442D05" w:rsidP="007E56CF">
      <w:pPr>
        <w:ind w:firstLine="709"/>
        <w:rPr>
          <w:i/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proofErr w:type="spellStart"/>
      <w:r w:rsidR="007E56CF">
        <w:rPr>
          <w:sz w:val="26"/>
          <w:szCs w:val="26"/>
        </w:rPr>
        <w:t>Камышанова</w:t>
      </w:r>
      <w:proofErr w:type="spellEnd"/>
      <w:r w:rsidR="007E56CF">
        <w:rPr>
          <w:sz w:val="26"/>
          <w:szCs w:val="26"/>
        </w:rPr>
        <w:t xml:space="preserve"> Г. Н.</w:t>
      </w:r>
      <w:r w:rsidR="00574259" w:rsidRPr="00574259">
        <w:rPr>
          <w:sz w:val="26"/>
          <w:szCs w:val="26"/>
        </w:rPr>
        <w:t>.</w:t>
      </w:r>
    </w:p>
    <w:p w:rsidR="00313580" w:rsidRPr="000B4792" w:rsidRDefault="00442D05" w:rsidP="007E56CF">
      <w:pPr>
        <w:ind w:firstLine="709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</w:t>
      </w:r>
      <w:r w:rsidR="007E56CF">
        <w:rPr>
          <w:sz w:val="26"/>
          <w:szCs w:val="26"/>
        </w:rPr>
        <w:t>,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следующая</w:t>
      </w:r>
      <w:r w:rsidR="0026326F"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Pr="000B4792" w:rsidRDefault="00732F69" w:rsidP="007E56CF">
      <w:pPr>
        <w:pStyle w:val="a4"/>
        <w:numPr>
          <w:ilvl w:val="0"/>
          <w:numId w:val="5"/>
        </w:numPr>
        <w:tabs>
          <w:tab w:val="left" w:pos="1188"/>
        </w:tabs>
        <w:ind w:left="0" w:right="104" w:firstLine="709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</w:t>
      </w:r>
      <w:r w:rsidR="00963141" w:rsidRPr="00963141">
        <w:rPr>
          <w:sz w:val="26"/>
          <w:szCs w:val="26"/>
        </w:rPr>
        <w:t>при осуществлении муниципального жилищного контроля на территории Пригородного сельского поселения Калачеевского муниципального района Воронежской области</w:t>
      </w:r>
      <w:r w:rsidR="00442D05" w:rsidRPr="000B4792">
        <w:rPr>
          <w:sz w:val="26"/>
          <w:szCs w:val="26"/>
        </w:rPr>
        <w:t>;</w:t>
      </w:r>
    </w:p>
    <w:p w:rsidR="00313580" w:rsidRPr="000B4792" w:rsidRDefault="00442D05" w:rsidP="007E56CF">
      <w:pPr>
        <w:ind w:firstLine="70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 w:rsidP="007E56CF">
      <w:pPr>
        <w:pStyle w:val="a3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 w:rsidP="007E56CF">
      <w:pPr>
        <w:pStyle w:val="a3"/>
        <w:tabs>
          <w:tab w:val="left" w:pos="2915"/>
        </w:tabs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 w:rsidP="007E56CF">
      <w:pPr>
        <w:pStyle w:val="a3"/>
        <w:tabs>
          <w:tab w:val="left" w:pos="2910"/>
        </w:tabs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7E56CF">
      <w:pPr>
        <w:pStyle w:val="a3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7E56CF">
      <w:pPr>
        <w:pStyle w:val="a3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403598">
      <w:pPr>
        <w:pStyle w:val="a3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 w:rsidR="000F5D2C"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</w:t>
      </w:r>
      <w:r w:rsidR="00963141" w:rsidRPr="00963141">
        <w:rPr>
          <w:sz w:val="26"/>
          <w:szCs w:val="26"/>
        </w:rPr>
        <w:t>при осуществлении муниципального жилищного контроля на территории Пригородного сельского поселения Калачеевского муниципального района Воронежской области</w:t>
      </w:r>
      <w:r w:rsidR="00963141">
        <w:rPr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проводились с 01 октября 202</w:t>
      </w:r>
      <w:r w:rsidR="007E56CF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 по 01 ноября 202</w:t>
      </w:r>
      <w:r w:rsidR="007E56CF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403598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r w:rsidR="00574259">
        <w:rPr>
          <w:spacing w:val="1"/>
          <w:sz w:val="26"/>
          <w:szCs w:val="26"/>
        </w:rPr>
        <w:t xml:space="preserve">Пригородного сельского поселения </w:t>
      </w:r>
      <w:r w:rsidR="00EA5BC9" w:rsidRPr="000B4792">
        <w:rPr>
          <w:sz w:val="26"/>
          <w:szCs w:val="26"/>
        </w:rPr>
        <w:t>Калачеевского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0B4792" w:rsidRDefault="00442D05" w:rsidP="00403598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 xml:space="preserve">администрации </w:t>
      </w:r>
      <w:r w:rsidR="00574259">
        <w:rPr>
          <w:sz w:val="26"/>
          <w:szCs w:val="26"/>
        </w:rPr>
        <w:t xml:space="preserve">Пригородного сельского поселения </w:t>
      </w:r>
      <w:r w:rsidR="00EA5BC9" w:rsidRPr="000B4792">
        <w:rPr>
          <w:sz w:val="26"/>
          <w:szCs w:val="26"/>
        </w:rPr>
        <w:t xml:space="preserve">Калачеевского муниципального района </w:t>
      </w:r>
      <w:r w:rsidR="00EA5BC9" w:rsidRPr="000B4792">
        <w:rPr>
          <w:sz w:val="26"/>
          <w:szCs w:val="26"/>
        </w:rPr>
        <w:lastRenderedPageBreak/>
        <w:t xml:space="preserve">Воронежской области </w:t>
      </w:r>
      <w:r w:rsidR="00F37B65">
        <w:rPr>
          <w:sz w:val="26"/>
          <w:szCs w:val="26"/>
        </w:rPr>
        <w:t xml:space="preserve">от </w:t>
      </w:r>
      <w:r w:rsidR="0026326F">
        <w:rPr>
          <w:sz w:val="26"/>
          <w:szCs w:val="26"/>
        </w:rPr>
        <w:t>2</w:t>
      </w:r>
      <w:r w:rsidR="007E56CF">
        <w:rPr>
          <w:sz w:val="26"/>
          <w:szCs w:val="26"/>
        </w:rPr>
        <w:t>3</w:t>
      </w:r>
      <w:r w:rsidR="0026326F">
        <w:rPr>
          <w:sz w:val="26"/>
          <w:szCs w:val="26"/>
        </w:rPr>
        <w:t xml:space="preserve"> сентября</w:t>
      </w:r>
      <w:r w:rsidR="00F37B65">
        <w:rPr>
          <w:sz w:val="26"/>
          <w:szCs w:val="26"/>
        </w:rPr>
        <w:t xml:space="preserve"> 202</w:t>
      </w:r>
      <w:r w:rsidR="007E56CF">
        <w:rPr>
          <w:sz w:val="26"/>
          <w:szCs w:val="26"/>
        </w:rPr>
        <w:t>4</w:t>
      </w:r>
      <w:r w:rsidR="00F37B65">
        <w:rPr>
          <w:sz w:val="26"/>
          <w:szCs w:val="26"/>
        </w:rPr>
        <w:t xml:space="preserve"> г. № </w:t>
      </w:r>
      <w:r w:rsidR="007E56CF">
        <w:rPr>
          <w:sz w:val="26"/>
          <w:szCs w:val="26"/>
        </w:rPr>
        <w:t>66</w:t>
      </w:r>
      <w:r w:rsidR="00F37B65">
        <w:rPr>
          <w:sz w:val="26"/>
          <w:szCs w:val="26"/>
        </w:rPr>
        <w:t xml:space="preserve"> «</w:t>
      </w:r>
      <w:r w:rsidR="00F37B65" w:rsidRPr="00F37B65">
        <w:rPr>
          <w:sz w:val="26"/>
          <w:szCs w:val="26"/>
        </w:rPr>
        <w:t>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Пригородного сельского поселения</w:t>
      </w:r>
      <w:r w:rsidR="00F37B65">
        <w:rPr>
          <w:sz w:val="26"/>
          <w:szCs w:val="26"/>
        </w:rPr>
        <w:t>».</w:t>
      </w:r>
    </w:p>
    <w:p w:rsidR="00732F69" w:rsidRDefault="00732F69" w:rsidP="00403598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 w:rsidR="008D44D5"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 </w:t>
      </w:r>
      <w:r w:rsidR="00A524CA">
        <w:rPr>
          <w:bCs/>
          <w:sz w:val="26"/>
          <w:szCs w:val="26"/>
        </w:rPr>
        <w:t xml:space="preserve">Пригородного сельского поселения </w:t>
      </w:r>
      <w:r w:rsidRPr="000B4792">
        <w:rPr>
          <w:bCs/>
          <w:sz w:val="26"/>
          <w:szCs w:val="26"/>
        </w:rPr>
        <w:t>Калачеевского муниципаль</w:t>
      </w:r>
      <w:r w:rsidR="002060F3">
        <w:rPr>
          <w:bCs/>
          <w:sz w:val="26"/>
          <w:szCs w:val="26"/>
        </w:rPr>
        <w:t>ного района Воронежской области.</w:t>
      </w:r>
    </w:p>
    <w:p w:rsidR="00720F08" w:rsidRPr="0026326F" w:rsidRDefault="00720F08" w:rsidP="00403598">
      <w:pPr>
        <w:pStyle w:val="a3"/>
        <w:spacing w:before="9"/>
        <w:jc w:val="both"/>
        <w:rPr>
          <w:bCs/>
          <w:sz w:val="26"/>
          <w:szCs w:val="26"/>
        </w:rPr>
      </w:pPr>
      <w:r w:rsidRPr="00720F08">
        <w:rPr>
          <w:bCs/>
          <w:sz w:val="26"/>
          <w:szCs w:val="26"/>
        </w:rPr>
        <w:t xml:space="preserve">Способы подачи предложений по итогам рассмотрения: почтовым отправлением/нарочным: 397605, Воронежская область, Калачеевский район, поселок Пригородный, улица Космонавтов   дом 22; письмом на адрес электронной почты: </w:t>
      </w:r>
      <w:hyperlink r:id="rId7" w:history="1">
        <w:r w:rsidRPr="0026326F">
          <w:rPr>
            <w:rStyle w:val="a8"/>
            <w:bCs/>
            <w:color w:val="auto"/>
            <w:sz w:val="26"/>
            <w:szCs w:val="26"/>
          </w:rPr>
          <w:t>prig.kalach@govvrn.ru</w:t>
        </w:r>
      </w:hyperlink>
      <w:r w:rsidRPr="0026326F">
        <w:rPr>
          <w:bCs/>
          <w:sz w:val="26"/>
          <w:szCs w:val="26"/>
        </w:rPr>
        <w:t>.</w:t>
      </w:r>
    </w:p>
    <w:p w:rsidR="00732F69" w:rsidRPr="000B4792" w:rsidRDefault="00732F69" w:rsidP="00403598">
      <w:pPr>
        <w:pStyle w:val="a3"/>
        <w:spacing w:before="9"/>
        <w:jc w:val="both"/>
        <w:rPr>
          <w:bCs/>
          <w:sz w:val="26"/>
          <w:szCs w:val="26"/>
        </w:rPr>
      </w:pPr>
      <w:r w:rsidRPr="0026326F">
        <w:rPr>
          <w:bCs/>
          <w:sz w:val="26"/>
          <w:szCs w:val="26"/>
        </w:rPr>
        <w:tab/>
        <w:t xml:space="preserve">Предложений и замечаний </w:t>
      </w:r>
      <w:r w:rsidR="008D44D5">
        <w:rPr>
          <w:bCs/>
          <w:sz w:val="26"/>
          <w:szCs w:val="26"/>
        </w:rPr>
        <w:t xml:space="preserve">в письменной форме, а также по электронной почте, </w:t>
      </w:r>
      <w:r w:rsidR="00DD18E6" w:rsidRPr="00DD18E6">
        <w:rPr>
          <w:bCs/>
          <w:sz w:val="26"/>
          <w:szCs w:val="26"/>
        </w:rPr>
        <w:t>от участников общественных обсуждений, постоянно проживающих на территории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732F69" w:rsidRPr="000B4792" w:rsidRDefault="00732F69" w:rsidP="00403598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 w:rsidP="00403598">
      <w:pPr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 w:rsidP="00403598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 w:rsidP="00403598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 w:rsidP="00403598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403598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="008D44D5"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403598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="008D44D5"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442D05" w:rsidRPr="000B4792" w:rsidRDefault="00344649" w:rsidP="00403598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</w:t>
      </w:r>
      <w:r w:rsidR="00963141" w:rsidRPr="00963141">
        <w:rPr>
          <w:bCs/>
          <w:sz w:val="26"/>
          <w:szCs w:val="26"/>
        </w:rPr>
        <w:t>при осуществлении муниципального жилищного контроля на территории Пригородного сельского поселения Калачеевского муниципального района Воронежской области</w:t>
      </w:r>
      <w:r w:rsidR="00E50D40">
        <w:rPr>
          <w:bCs/>
          <w:sz w:val="26"/>
          <w:szCs w:val="26"/>
        </w:rPr>
        <w:t xml:space="preserve"> </w:t>
      </w:r>
      <w:r w:rsidR="00E50D40" w:rsidRPr="00E50D40">
        <w:rPr>
          <w:bCs/>
          <w:sz w:val="26"/>
          <w:szCs w:val="26"/>
        </w:rPr>
        <w:t>на утверждение уполномоченного должностного лица администрации Пригородного сельского поселения</w:t>
      </w:r>
      <w:r w:rsidR="00442D05"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42D05" w:rsidRPr="000B4792" w:rsidRDefault="00442D05" w:rsidP="00403598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403598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442D05" w:rsidP="00403598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442D05" w:rsidRPr="000B4792" w:rsidRDefault="00442D05" w:rsidP="00403598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442D05" w:rsidRPr="000B4792" w:rsidRDefault="00442D05" w:rsidP="00403598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442D05" w:rsidRPr="000B4792" w:rsidRDefault="00442D05" w:rsidP="00403598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tbl>
      <w:tblPr>
        <w:tblStyle w:val="a5"/>
        <w:tblW w:w="9972" w:type="dxa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D4372E" w:rsidRPr="000B4792" w:rsidTr="007E56CF">
        <w:tc>
          <w:tcPr>
            <w:tcW w:w="4986" w:type="dxa"/>
          </w:tcPr>
          <w:p w:rsidR="007E56CF" w:rsidRDefault="007E56CF" w:rsidP="00403598">
            <w:pPr>
              <w:pStyle w:val="a3"/>
              <w:spacing w:before="11"/>
              <w:rPr>
                <w:sz w:val="26"/>
                <w:szCs w:val="26"/>
              </w:rPr>
            </w:pPr>
          </w:p>
          <w:p w:rsidR="00D4372E" w:rsidRPr="000B4792" w:rsidRDefault="00D4372E" w:rsidP="00403598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986" w:type="dxa"/>
          </w:tcPr>
          <w:p w:rsidR="007E56CF" w:rsidRDefault="007E56CF" w:rsidP="00403598">
            <w:pPr>
              <w:rPr>
                <w:sz w:val="26"/>
                <w:szCs w:val="26"/>
              </w:rPr>
            </w:pPr>
          </w:p>
          <w:p w:rsidR="00D4372E" w:rsidRPr="00667A09" w:rsidRDefault="007E56CF" w:rsidP="00403598">
            <w:pPr>
              <w:rPr>
                <w:sz w:val="26"/>
                <w:szCs w:val="26"/>
              </w:rPr>
            </w:pPr>
            <w:proofErr w:type="spellStart"/>
            <w:r w:rsidRPr="00D4372E">
              <w:rPr>
                <w:sz w:val="26"/>
                <w:szCs w:val="26"/>
              </w:rPr>
              <w:t>Камышанова</w:t>
            </w:r>
            <w:proofErr w:type="spellEnd"/>
            <w:r w:rsidRPr="00D4372E">
              <w:rPr>
                <w:sz w:val="26"/>
                <w:szCs w:val="26"/>
              </w:rPr>
              <w:t xml:space="preserve"> Г.Н</w:t>
            </w:r>
          </w:p>
        </w:tc>
      </w:tr>
      <w:tr w:rsidR="00D4372E" w:rsidRPr="000B4792" w:rsidTr="007E56CF">
        <w:tc>
          <w:tcPr>
            <w:tcW w:w="4986" w:type="dxa"/>
          </w:tcPr>
          <w:p w:rsidR="007E56CF" w:rsidRDefault="007E56CF" w:rsidP="00403598">
            <w:pPr>
              <w:pStyle w:val="a3"/>
              <w:spacing w:before="11"/>
              <w:rPr>
                <w:sz w:val="26"/>
                <w:szCs w:val="26"/>
              </w:rPr>
            </w:pPr>
          </w:p>
          <w:p w:rsidR="00D4372E" w:rsidRPr="000B4792" w:rsidRDefault="00D4372E" w:rsidP="00403598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4986" w:type="dxa"/>
          </w:tcPr>
          <w:p w:rsidR="007E56CF" w:rsidRDefault="007E56CF" w:rsidP="00403598">
            <w:pPr>
              <w:rPr>
                <w:sz w:val="26"/>
                <w:szCs w:val="26"/>
              </w:rPr>
            </w:pPr>
          </w:p>
          <w:p w:rsidR="00D4372E" w:rsidRPr="00667A09" w:rsidRDefault="007E56CF" w:rsidP="00403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О. Ф.</w:t>
            </w:r>
          </w:p>
        </w:tc>
      </w:tr>
      <w:tr w:rsidR="00D4372E" w:rsidRPr="000B4792" w:rsidTr="007E56CF">
        <w:tc>
          <w:tcPr>
            <w:tcW w:w="4986" w:type="dxa"/>
          </w:tcPr>
          <w:p w:rsidR="007E56CF" w:rsidRDefault="007E56CF" w:rsidP="00403598">
            <w:pPr>
              <w:pStyle w:val="a3"/>
              <w:spacing w:before="11"/>
              <w:rPr>
                <w:sz w:val="26"/>
                <w:szCs w:val="26"/>
              </w:rPr>
            </w:pPr>
          </w:p>
          <w:p w:rsidR="00D4372E" w:rsidRPr="000B4792" w:rsidRDefault="00D4372E" w:rsidP="00403598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986" w:type="dxa"/>
          </w:tcPr>
          <w:p w:rsidR="007E56CF" w:rsidRDefault="007E56CF" w:rsidP="00403598">
            <w:pPr>
              <w:rPr>
                <w:sz w:val="26"/>
                <w:szCs w:val="26"/>
              </w:rPr>
            </w:pPr>
          </w:p>
          <w:p w:rsidR="00D4372E" w:rsidRPr="00667A09" w:rsidRDefault="00277653" w:rsidP="00403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Ржевская Т.А</w:t>
            </w:r>
            <w:r w:rsidR="00D4372E" w:rsidRPr="00667A09">
              <w:rPr>
                <w:sz w:val="26"/>
                <w:szCs w:val="26"/>
              </w:rPr>
              <w:t>.</w:t>
            </w:r>
          </w:p>
        </w:tc>
      </w:tr>
      <w:tr w:rsidR="00D4372E" w:rsidRPr="000B4792" w:rsidTr="007E56CF">
        <w:tc>
          <w:tcPr>
            <w:tcW w:w="4986" w:type="dxa"/>
          </w:tcPr>
          <w:p w:rsidR="007E56CF" w:rsidRDefault="007E56CF" w:rsidP="00403598">
            <w:pPr>
              <w:pStyle w:val="a3"/>
              <w:spacing w:before="11"/>
              <w:rPr>
                <w:sz w:val="26"/>
                <w:szCs w:val="26"/>
              </w:rPr>
            </w:pPr>
          </w:p>
          <w:p w:rsidR="00D4372E" w:rsidRPr="000B4792" w:rsidRDefault="00D4372E" w:rsidP="00403598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4986" w:type="dxa"/>
          </w:tcPr>
          <w:p w:rsidR="007E56CF" w:rsidRDefault="007E56CF" w:rsidP="00403598">
            <w:pPr>
              <w:rPr>
                <w:sz w:val="26"/>
                <w:szCs w:val="26"/>
              </w:rPr>
            </w:pPr>
          </w:p>
          <w:p w:rsidR="00D4372E" w:rsidRPr="00667A09" w:rsidRDefault="00D4372E" w:rsidP="00403598">
            <w:pPr>
              <w:rPr>
                <w:sz w:val="26"/>
                <w:szCs w:val="26"/>
              </w:rPr>
            </w:pPr>
            <w:proofErr w:type="spellStart"/>
            <w:r w:rsidRPr="00667A09">
              <w:rPr>
                <w:sz w:val="26"/>
                <w:szCs w:val="26"/>
              </w:rPr>
              <w:t>Ковярова</w:t>
            </w:r>
            <w:proofErr w:type="spellEnd"/>
            <w:r w:rsidRPr="00667A09">
              <w:rPr>
                <w:sz w:val="26"/>
                <w:szCs w:val="26"/>
              </w:rPr>
              <w:t xml:space="preserve"> Ю.А.</w:t>
            </w:r>
          </w:p>
        </w:tc>
      </w:tr>
      <w:tr w:rsidR="00D4372E" w:rsidRPr="000B4792" w:rsidTr="007E56CF">
        <w:tc>
          <w:tcPr>
            <w:tcW w:w="4986" w:type="dxa"/>
          </w:tcPr>
          <w:p w:rsidR="00D4372E" w:rsidRPr="000B4792" w:rsidRDefault="00D4372E" w:rsidP="00403598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4986" w:type="dxa"/>
          </w:tcPr>
          <w:p w:rsidR="007E56CF" w:rsidRDefault="007E56CF" w:rsidP="00403598">
            <w:pPr>
              <w:rPr>
                <w:sz w:val="26"/>
                <w:szCs w:val="26"/>
              </w:rPr>
            </w:pPr>
          </w:p>
          <w:p w:rsidR="00D4372E" w:rsidRPr="00667A09" w:rsidRDefault="00D4372E" w:rsidP="00403598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667A09">
              <w:rPr>
                <w:sz w:val="26"/>
                <w:szCs w:val="26"/>
              </w:rPr>
              <w:t>Пономарева Е.А.</w:t>
            </w:r>
          </w:p>
        </w:tc>
      </w:tr>
      <w:tr w:rsidR="00D4372E" w:rsidRPr="000B4792" w:rsidTr="007E56CF">
        <w:tc>
          <w:tcPr>
            <w:tcW w:w="4986" w:type="dxa"/>
          </w:tcPr>
          <w:p w:rsidR="00D4372E" w:rsidRPr="000B4792" w:rsidRDefault="00D4372E" w:rsidP="00403598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4986" w:type="dxa"/>
          </w:tcPr>
          <w:p w:rsidR="00D4372E" w:rsidRPr="000B4792" w:rsidRDefault="00D4372E" w:rsidP="00403598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</w:tbl>
    <w:p w:rsidR="00442D05" w:rsidRPr="000B4792" w:rsidRDefault="00442D05" w:rsidP="00403598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 w:rsidP="00403598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7E56CF">
      <w:pgSz w:w="11910" w:h="16840"/>
      <w:pgMar w:top="1134" w:right="850" w:bottom="426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  <w:jc w:val="left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  <w:jc w:val="left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0"/>
    <w:rsid w:val="00021299"/>
    <w:rsid w:val="000B4792"/>
    <w:rsid w:val="000F5D2C"/>
    <w:rsid w:val="002060F3"/>
    <w:rsid w:val="0026326F"/>
    <w:rsid w:val="00277653"/>
    <w:rsid w:val="00313580"/>
    <w:rsid w:val="00344649"/>
    <w:rsid w:val="003E3537"/>
    <w:rsid w:val="00403598"/>
    <w:rsid w:val="00442D05"/>
    <w:rsid w:val="00574259"/>
    <w:rsid w:val="005E75C4"/>
    <w:rsid w:val="00667A09"/>
    <w:rsid w:val="00720F08"/>
    <w:rsid w:val="00732F69"/>
    <w:rsid w:val="00745FBB"/>
    <w:rsid w:val="007E56CF"/>
    <w:rsid w:val="00837741"/>
    <w:rsid w:val="008D44D5"/>
    <w:rsid w:val="00963141"/>
    <w:rsid w:val="00A524CA"/>
    <w:rsid w:val="00A66F45"/>
    <w:rsid w:val="00A74322"/>
    <w:rsid w:val="00AC2F3E"/>
    <w:rsid w:val="00B06A9E"/>
    <w:rsid w:val="00D4372E"/>
    <w:rsid w:val="00DD18E6"/>
    <w:rsid w:val="00E50D40"/>
    <w:rsid w:val="00EA5BC9"/>
    <w:rsid w:val="00F3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g.kalach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37D8-7E0F-4A47-B88C-C5F9F89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СИР</cp:lastModifiedBy>
  <cp:revision>15</cp:revision>
  <cp:lastPrinted>2024-12-02T10:43:00Z</cp:lastPrinted>
  <dcterms:created xsi:type="dcterms:W3CDTF">2021-12-03T10:57:00Z</dcterms:created>
  <dcterms:modified xsi:type="dcterms:W3CDTF">2024-12-02T10:44:00Z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