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F6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2429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3C600F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947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429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947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3.2016 г. №</w:t>
      </w:r>
      <w:r w:rsidR="002429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</w:t>
      </w:r>
      <w:r w:rsidR="00242940" w:rsidRPr="002429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24.03.2016 г. №50</w:t>
      </w:r>
      <w:r w:rsidR="0094796B" w:rsidRPr="00947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2940" w:rsidRPr="0024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242940" w:rsidRPr="0024294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242940" w:rsidRPr="0024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94796B" w:rsidRPr="00947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0" w:name="_GoBack"/>
      <w:bookmarkEnd w:id="0"/>
      <w:r w:rsidR="00242940" w:rsidRPr="00242940">
        <w:rPr>
          <w:rFonts w:ascii="Times New Roman" w:eastAsia="Times New Roman" w:hAnsi="Times New Roman" w:cs="Times New Roman"/>
          <w:sz w:val="26"/>
          <w:szCs w:val="26"/>
          <w:lang w:eastAsia="ru-RU"/>
        </w:rPr>
        <w:t>07.06.2017 № 43, от 18.07.2019 № 76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«5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дерального закона от 27.07.2010 </w:t>
      </w:r>
      <w:r w:rsidRPr="00253BA9">
        <w:rPr>
          <w:rFonts w:ascii="Times New Roman" w:eastAsia="Calibri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242940"/>
    <w:rsid w:val="00253BA9"/>
    <w:rsid w:val="00260C6B"/>
    <w:rsid w:val="00350BBC"/>
    <w:rsid w:val="003C600F"/>
    <w:rsid w:val="0051270A"/>
    <w:rsid w:val="00524730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4796B"/>
    <w:rsid w:val="009D703A"/>
    <w:rsid w:val="00BF6FC6"/>
    <w:rsid w:val="00C7098F"/>
    <w:rsid w:val="00CC3969"/>
    <w:rsid w:val="00D828A4"/>
    <w:rsid w:val="00DA4EAD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6D16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9</cp:revision>
  <cp:lastPrinted>2022-12-13T14:47:00Z</cp:lastPrinted>
  <dcterms:created xsi:type="dcterms:W3CDTF">2022-12-13T13:20:00Z</dcterms:created>
  <dcterms:modified xsi:type="dcterms:W3CDTF">2022-12-14T06:33:00Z</dcterms:modified>
</cp:coreProperties>
</file>