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FF" w:rsidRDefault="004E49FF" w:rsidP="00B10C8E">
      <w:pPr>
        <w:jc w:val="center"/>
        <w:outlineLvl w:val="0"/>
        <w:rPr>
          <w:b/>
          <w:sz w:val="28"/>
          <w:szCs w:val="28"/>
        </w:rPr>
      </w:pPr>
    </w:p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</w:p>
    <w:p w:rsidR="00B10C8E" w:rsidRPr="00760653" w:rsidRDefault="00B10C8E" w:rsidP="00B10C8E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B10C8E" w:rsidRPr="00760653" w:rsidRDefault="00B10C8E" w:rsidP="00B10C8E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Pr="00F83335" w:rsidRDefault="005B7711" w:rsidP="007B6261">
      <w:pPr>
        <w:ind w:right="5669"/>
        <w:rPr>
          <w:sz w:val="28"/>
          <w:szCs w:val="28"/>
          <w:u w:val="single"/>
        </w:rPr>
      </w:pPr>
      <w:r w:rsidRPr="00F83335">
        <w:rPr>
          <w:sz w:val="28"/>
          <w:szCs w:val="28"/>
          <w:u w:val="single"/>
        </w:rPr>
        <w:t>о</w:t>
      </w:r>
      <w:r w:rsidR="00A8685A" w:rsidRPr="00F83335">
        <w:rPr>
          <w:sz w:val="28"/>
          <w:szCs w:val="28"/>
          <w:u w:val="single"/>
        </w:rPr>
        <w:t>т</w:t>
      </w:r>
      <w:r w:rsidRPr="00F83335">
        <w:rPr>
          <w:sz w:val="28"/>
          <w:szCs w:val="28"/>
          <w:u w:val="single"/>
        </w:rPr>
        <w:t xml:space="preserve"> 30</w:t>
      </w:r>
      <w:r w:rsidR="00A27F58" w:rsidRPr="00F83335">
        <w:rPr>
          <w:sz w:val="28"/>
          <w:szCs w:val="28"/>
          <w:u w:val="single"/>
        </w:rPr>
        <w:t xml:space="preserve"> </w:t>
      </w:r>
      <w:r w:rsidR="00FE5533" w:rsidRPr="00F83335">
        <w:rPr>
          <w:sz w:val="28"/>
          <w:szCs w:val="28"/>
          <w:u w:val="single"/>
        </w:rPr>
        <w:t>ма</w:t>
      </w:r>
      <w:r w:rsidR="00BC7F5D" w:rsidRPr="00F83335">
        <w:rPr>
          <w:sz w:val="28"/>
          <w:szCs w:val="28"/>
          <w:u w:val="single"/>
        </w:rPr>
        <w:t xml:space="preserve">я </w:t>
      </w:r>
      <w:r w:rsidR="006218F5" w:rsidRPr="00F83335">
        <w:rPr>
          <w:sz w:val="28"/>
          <w:szCs w:val="28"/>
          <w:u w:val="single"/>
        </w:rPr>
        <w:t>202</w:t>
      </w:r>
      <w:r w:rsidR="00FE5533" w:rsidRPr="00F83335">
        <w:rPr>
          <w:sz w:val="28"/>
          <w:szCs w:val="28"/>
          <w:u w:val="single"/>
        </w:rPr>
        <w:t>4</w:t>
      </w:r>
      <w:r w:rsidR="009B5B34" w:rsidRPr="00F83335">
        <w:rPr>
          <w:sz w:val="28"/>
          <w:szCs w:val="28"/>
          <w:u w:val="single"/>
        </w:rPr>
        <w:t xml:space="preserve"> г. №</w:t>
      </w:r>
      <w:r w:rsidR="00ED2C33" w:rsidRPr="00F83335">
        <w:rPr>
          <w:sz w:val="28"/>
          <w:szCs w:val="28"/>
          <w:u w:val="single"/>
        </w:rPr>
        <w:t xml:space="preserve"> </w:t>
      </w:r>
      <w:r w:rsidR="00FE5533" w:rsidRPr="00F83335">
        <w:rPr>
          <w:sz w:val="28"/>
          <w:szCs w:val="28"/>
          <w:u w:val="single"/>
        </w:rPr>
        <w:t>3</w:t>
      </w:r>
      <w:r w:rsidRPr="00F83335">
        <w:rPr>
          <w:sz w:val="28"/>
          <w:szCs w:val="28"/>
          <w:u w:val="single"/>
        </w:rPr>
        <w:t>5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C712E" w:rsidRPr="00323FCC" w:rsidTr="00F83335">
        <w:trPr>
          <w:trHeight w:val="67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F83335" w:rsidRDefault="005B7711" w:rsidP="005B771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BM_D0_9D_D0_B0_D0_B8_D0_BC_D0_B5_D0_BD_D"/>
            <w:bookmarkEnd w:id="1"/>
            <w:r w:rsidRPr="00F83335">
              <w:rPr>
                <w:b/>
                <w:color w:val="000000"/>
                <w:sz w:val="28"/>
                <w:szCs w:val="28"/>
              </w:rPr>
              <w:t>Об утверждении Положения о порядке формирования и использования жилых помещений маневренного фонда Пригородного сельского поселения Калачеевского муниципального района Воронежской области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6"/>
          <w:szCs w:val="26"/>
        </w:rPr>
      </w:pPr>
    </w:p>
    <w:p w:rsidR="00F83335" w:rsidRPr="00323FCC" w:rsidRDefault="00F83335" w:rsidP="00EF4493">
      <w:pPr>
        <w:shd w:val="clear" w:color="auto" w:fill="FFFFFF"/>
        <w:rPr>
          <w:b/>
          <w:color w:val="000000"/>
          <w:sz w:val="26"/>
          <w:szCs w:val="26"/>
        </w:rPr>
      </w:pPr>
    </w:p>
    <w:p w:rsidR="00323FCC" w:rsidRPr="00F83335" w:rsidRDefault="005B7711" w:rsidP="00F83335">
      <w:pPr>
        <w:pStyle w:val="ae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3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части 3 статьи 2 Закона Воронежской области от 10.11.2014 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 Минстроя России от 14.05.2021 № 292/</w:t>
      </w:r>
      <w:proofErr w:type="spellStart"/>
      <w:r w:rsidRPr="00F83335">
        <w:rPr>
          <w:sz w:val="28"/>
          <w:szCs w:val="28"/>
        </w:rPr>
        <w:t>пр</w:t>
      </w:r>
      <w:proofErr w:type="spellEnd"/>
      <w:r w:rsidRPr="00F83335">
        <w:rPr>
          <w:sz w:val="28"/>
          <w:szCs w:val="28"/>
        </w:rPr>
        <w:t xml:space="preserve"> «Об утверждении правил пользования жилыми помещениями», Уставом Пригородного сельского поселения Калачеевского муниципального района Воронежской области</w:t>
      </w:r>
      <w:r w:rsidR="00323FCC" w:rsidRPr="00F83335">
        <w:rPr>
          <w:sz w:val="28"/>
          <w:szCs w:val="28"/>
        </w:rPr>
        <w:t xml:space="preserve">, администрация Пригородного сельского поселения </w:t>
      </w:r>
      <w:r w:rsidR="00323FCC" w:rsidRPr="00F83335">
        <w:rPr>
          <w:b/>
          <w:sz w:val="28"/>
          <w:szCs w:val="28"/>
        </w:rPr>
        <w:t>постановляет:</w:t>
      </w:r>
      <w:r w:rsidR="00323FCC" w:rsidRPr="00F83335">
        <w:rPr>
          <w:sz w:val="28"/>
          <w:szCs w:val="28"/>
        </w:rPr>
        <w:t xml:space="preserve"> </w:t>
      </w:r>
    </w:p>
    <w:p w:rsidR="00323FCC" w:rsidRPr="00F83335" w:rsidRDefault="00323FCC" w:rsidP="00F83335">
      <w:pPr>
        <w:pStyle w:val="ae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335">
        <w:rPr>
          <w:sz w:val="28"/>
          <w:szCs w:val="28"/>
        </w:rPr>
        <w:t xml:space="preserve">1. </w:t>
      </w:r>
      <w:r w:rsidR="005B7711" w:rsidRPr="00F83335">
        <w:rPr>
          <w:sz w:val="28"/>
          <w:szCs w:val="28"/>
        </w:rPr>
        <w:t>Утвердить Положение о порядке формирования и использования жилых помещений маневренного фонда Пригородного сельского поселения Калачеевского муниципального района Воронежской области согласно приложению.</w:t>
      </w:r>
    </w:p>
    <w:p w:rsidR="00323FCC" w:rsidRPr="00F83335" w:rsidRDefault="00323FCC" w:rsidP="00F83335">
      <w:pPr>
        <w:pStyle w:val="ae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335">
        <w:rPr>
          <w:sz w:val="28"/>
          <w:szCs w:val="28"/>
        </w:rPr>
        <w:lastRenderedPageBreak/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323FCC" w:rsidRPr="00F83335" w:rsidRDefault="00323FCC" w:rsidP="00F83335">
      <w:pPr>
        <w:pStyle w:val="ae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F8333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F4493" w:rsidRPr="00F83335" w:rsidRDefault="00EF4493" w:rsidP="00323FCC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23FCC" w:rsidRPr="00F83335" w:rsidRDefault="00323FCC" w:rsidP="00323FCC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23FCC" w:rsidRPr="00F83335" w:rsidRDefault="00323FCC" w:rsidP="00323FCC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23FCC" w:rsidRPr="00F83335" w:rsidRDefault="00323FCC" w:rsidP="00F83335">
      <w:pPr>
        <w:ind w:right="-2"/>
        <w:jc w:val="both"/>
        <w:rPr>
          <w:b/>
          <w:sz w:val="28"/>
          <w:szCs w:val="28"/>
        </w:rPr>
      </w:pPr>
      <w:r w:rsidRPr="00F83335">
        <w:rPr>
          <w:b/>
          <w:sz w:val="28"/>
          <w:szCs w:val="28"/>
        </w:rPr>
        <w:t xml:space="preserve">Глава Пригородного </w:t>
      </w:r>
    </w:p>
    <w:p w:rsidR="00323FCC" w:rsidRPr="00F83335" w:rsidRDefault="00323FCC" w:rsidP="00F83335">
      <w:pPr>
        <w:ind w:right="-2"/>
        <w:jc w:val="both"/>
        <w:rPr>
          <w:b/>
          <w:sz w:val="28"/>
          <w:szCs w:val="28"/>
        </w:rPr>
      </w:pPr>
      <w:r w:rsidRPr="00F83335">
        <w:rPr>
          <w:b/>
          <w:sz w:val="28"/>
          <w:szCs w:val="28"/>
        </w:rPr>
        <w:t xml:space="preserve">сельского поселения              </w:t>
      </w:r>
      <w:r w:rsidR="00F83335">
        <w:rPr>
          <w:b/>
          <w:sz w:val="28"/>
          <w:szCs w:val="28"/>
        </w:rPr>
        <w:t xml:space="preserve"> </w:t>
      </w:r>
      <w:r w:rsidRPr="00F83335">
        <w:rPr>
          <w:b/>
          <w:sz w:val="28"/>
          <w:szCs w:val="28"/>
        </w:rPr>
        <w:t xml:space="preserve">                                             А.Г. Самойленко</w:t>
      </w:r>
    </w:p>
    <w:p w:rsidR="0096241E" w:rsidRDefault="0096241E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p w:rsidR="00F83335" w:rsidRDefault="00F83335" w:rsidP="00323FCC">
      <w:pPr>
        <w:spacing w:line="276" w:lineRule="auto"/>
        <w:ind w:right="-2"/>
        <w:jc w:val="both"/>
        <w:rPr>
          <w:b/>
          <w:sz w:val="26"/>
          <w:szCs w:val="26"/>
        </w:rPr>
      </w:pPr>
    </w:p>
    <w:tbl>
      <w:tblPr>
        <w:tblStyle w:val="af2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96241E" w:rsidRPr="00F83335" w:rsidTr="0096241E">
        <w:tc>
          <w:tcPr>
            <w:tcW w:w="4501" w:type="dxa"/>
          </w:tcPr>
          <w:p w:rsidR="0096241E" w:rsidRPr="00F83335" w:rsidRDefault="0096241E" w:rsidP="0096241E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83335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96241E" w:rsidRPr="00F83335" w:rsidRDefault="0096241E" w:rsidP="0096241E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83335">
              <w:rPr>
                <w:color w:val="000000"/>
                <w:sz w:val="28"/>
                <w:szCs w:val="28"/>
              </w:rPr>
              <w:t xml:space="preserve">к постановлению администрации Пригородного сельского поселения Калачеевского муниципального района Воронежской области </w:t>
            </w:r>
          </w:p>
          <w:p w:rsidR="0096241E" w:rsidRPr="00F83335" w:rsidRDefault="0096241E" w:rsidP="0096241E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83335">
              <w:rPr>
                <w:color w:val="000000"/>
                <w:sz w:val="28"/>
                <w:szCs w:val="28"/>
              </w:rPr>
              <w:t>от 30.05.2024 №35</w:t>
            </w:r>
          </w:p>
        </w:tc>
      </w:tr>
    </w:tbl>
    <w:p w:rsidR="0096241E" w:rsidRPr="00F83335" w:rsidRDefault="0096241E" w:rsidP="0096241E">
      <w:pPr>
        <w:spacing w:line="276" w:lineRule="auto"/>
        <w:ind w:right="-2"/>
        <w:jc w:val="center"/>
        <w:rPr>
          <w:b/>
          <w:color w:val="000000"/>
          <w:sz w:val="28"/>
          <w:szCs w:val="28"/>
        </w:rPr>
      </w:pPr>
    </w:p>
    <w:p w:rsidR="0096241E" w:rsidRPr="00F83335" w:rsidRDefault="0096241E" w:rsidP="0096241E">
      <w:pPr>
        <w:spacing w:line="276" w:lineRule="auto"/>
        <w:ind w:right="-2"/>
        <w:jc w:val="center"/>
        <w:rPr>
          <w:color w:val="000000"/>
          <w:sz w:val="28"/>
          <w:szCs w:val="28"/>
        </w:rPr>
      </w:pPr>
      <w:r w:rsidRPr="00F83335">
        <w:rPr>
          <w:color w:val="000000"/>
          <w:sz w:val="28"/>
          <w:szCs w:val="28"/>
        </w:rPr>
        <w:t>ПОЛОЖЕНИЕ</w:t>
      </w:r>
    </w:p>
    <w:p w:rsidR="0096241E" w:rsidRPr="00F83335" w:rsidRDefault="0096241E" w:rsidP="0096241E">
      <w:pPr>
        <w:ind w:right="-2"/>
        <w:jc w:val="center"/>
        <w:rPr>
          <w:color w:val="000000"/>
          <w:sz w:val="28"/>
          <w:szCs w:val="28"/>
        </w:rPr>
      </w:pPr>
      <w:r w:rsidRPr="00F83335">
        <w:rPr>
          <w:color w:val="000000"/>
          <w:sz w:val="28"/>
          <w:szCs w:val="28"/>
        </w:rPr>
        <w:t>о порядке формирования и использования жилых помещений маневренного фонда Пригородного сельского поселения Калачеевского муниципального района Воронежской области</w:t>
      </w:r>
    </w:p>
    <w:p w:rsidR="0096241E" w:rsidRPr="00F83335" w:rsidRDefault="0096241E" w:rsidP="0096241E">
      <w:pPr>
        <w:ind w:right="-2"/>
        <w:jc w:val="center"/>
        <w:rPr>
          <w:color w:val="000000"/>
          <w:sz w:val="28"/>
          <w:szCs w:val="28"/>
        </w:rPr>
      </w:pPr>
    </w:p>
    <w:p w:rsidR="00C3347C" w:rsidRDefault="00C3347C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F83335" w:rsidRPr="00C3347C" w:rsidRDefault="00F83335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F83335" w:rsidRP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Пригородного сельского поселения Калачеевского муниципального района Воронежской области 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(далее - Положение) определяет порядок формирования, предоставления и использования жилых помещений маневренного фонда </w:t>
      </w:r>
      <w:r w:rsidR="00F83335" w:rsidRP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>Пригородного сельского поселения Калачеевского муниципального района Воронежской области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2" w:name="P44"/>
      <w:bookmarkEnd w:id="2"/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3" w:name="P45"/>
      <w:bookmarkEnd w:id="3"/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4" w:name="P46"/>
      <w:bookmarkEnd w:id="4"/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5" w:name="P48"/>
      <w:bookmarkEnd w:id="5"/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4) иных граждан в случаях, предусмотренных законодательством.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основании </w:t>
      </w:r>
      <w:r w:rsid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>постановления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r w:rsidR="00F83335" w:rsidRP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>Пригородного сельского поселения Калачеевского муниципального района Воронежской области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C3347C" w:rsidRPr="00C3347C" w:rsidRDefault="00C3347C" w:rsidP="00C3347C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Default="00C3347C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F83335" w:rsidRPr="00C3347C" w:rsidRDefault="00F83335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</w:t>
      </w:r>
      <w:r w:rsid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постановления 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администрации </w:t>
      </w:r>
      <w:r w:rsidR="00F83335" w:rsidRP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>Пригородного сельского поселения Калачеевского муниципального района Воронежской области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F83335" w:rsidRP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>Пригородного сельского поселения Калачеевского муниципального района Воронежской области</w:t>
      </w:r>
      <w:r w:rsid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наймодателем</w:t>
      </w:r>
      <w:proofErr w:type="spellEnd"/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жилого помещения. Копия данного соглашения должна быть представлена нанимателем в администрацию </w:t>
      </w:r>
      <w:r w:rsidR="00F83335" w:rsidRP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>Пригородного сельского поселения Калачеевского муниципального района Воронежской области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3347C" w:rsidRPr="00C3347C" w:rsidRDefault="00C3347C" w:rsidP="00C3347C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Default="00C3347C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</w:t>
      </w:r>
    </w:p>
    <w:p w:rsidR="00F83335" w:rsidRPr="00C3347C" w:rsidRDefault="00F83335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3347C" w:rsidRPr="00C3347C" w:rsidRDefault="00C3347C" w:rsidP="00C3347C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C3347C" w:rsidRPr="00C3347C" w:rsidRDefault="00C3347C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Default="00C3347C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F83335" w:rsidRPr="00C3347C" w:rsidRDefault="00F83335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Pr="00C3347C" w:rsidRDefault="00C3347C" w:rsidP="00F83335">
      <w:pPr>
        <w:suppressAutoHyphens/>
        <w:autoSpaceDN w:val="0"/>
        <w:ind w:left="142"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C3347C" w:rsidRPr="00C3347C" w:rsidRDefault="00C3347C" w:rsidP="00F83335">
      <w:pPr>
        <w:suppressAutoHyphens/>
        <w:autoSpaceDN w:val="0"/>
        <w:ind w:left="142"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C3347C" w:rsidRPr="00C3347C" w:rsidRDefault="00C3347C" w:rsidP="00C3347C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Default="00C3347C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F83335" w:rsidRPr="00C3347C" w:rsidRDefault="00F83335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C3347C" w:rsidRPr="00C3347C" w:rsidRDefault="00C3347C" w:rsidP="00C3347C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Default="00C3347C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6. Контроль за использованием жилых помещений маневренного фонда</w:t>
      </w:r>
    </w:p>
    <w:p w:rsidR="00F83335" w:rsidRPr="00C3347C" w:rsidRDefault="00F83335" w:rsidP="00C3347C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C3347C" w:rsidRPr="00C3347C" w:rsidRDefault="00C3347C" w:rsidP="00F83335">
      <w:pPr>
        <w:suppressAutoHyphens/>
        <w:autoSpaceDN w:val="0"/>
        <w:ind w:firstLine="567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Контроль за соблюдением настоящего Положения осуществляет администрация </w:t>
      </w:r>
      <w:r w:rsidR="00F83335" w:rsidRPr="00F83335">
        <w:rPr>
          <w:rFonts w:eastAsia="NSimSun"/>
          <w:color w:val="000000"/>
          <w:kern w:val="3"/>
          <w:sz w:val="28"/>
          <w:szCs w:val="28"/>
          <w:lang w:eastAsia="zh-CN" w:bidi="hi-IN"/>
        </w:rPr>
        <w:t>Пригородного сельского поселения Калачеевского муниципального района Воронежской области</w:t>
      </w: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C3347C" w:rsidRPr="00C3347C" w:rsidRDefault="00C3347C" w:rsidP="00C3347C">
      <w:pPr>
        <w:suppressAutoHyphens/>
        <w:autoSpaceDN w:val="0"/>
        <w:spacing w:line="276" w:lineRule="auto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C3347C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3347C" w:rsidRPr="00C3347C" w:rsidRDefault="00C3347C" w:rsidP="00C3347C">
      <w:pPr>
        <w:suppressAutoHyphens/>
        <w:autoSpaceDN w:val="0"/>
        <w:spacing w:line="276" w:lineRule="auto"/>
        <w:jc w:val="both"/>
        <w:textAlignment w:val="baseline"/>
        <w:rPr>
          <w:rFonts w:eastAsia="NSimSun"/>
          <w:color w:val="000000"/>
          <w:kern w:val="3"/>
          <w:sz w:val="26"/>
          <w:szCs w:val="26"/>
          <w:lang w:eastAsia="zh-CN" w:bidi="hi-IN"/>
        </w:rPr>
      </w:pPr>
    </w:p>
    <w:p w:rsidR="0096241E" w:rsidRPr="00F83335" w:rsidRDefault="0096241E" w:rsidP="0096241E">
      <w:pPr>
        <w:ind w:firstLine="709"/>
        <w:jc w:val="both"/>
        <w:rPr>
          <w:color w:val="000000"/>
          <w:sz w:val="26"/>
          <w:szCs w:val="26"/>
        </w:rPr>
      </w:pPr>
    </w:p>
    <w:sectPr w:rsidR="0096241E" w:rsidRPr="00F83335" w:rsidSect="00323FCC">
      <w:pgSz w:w="11907" w:h="16840" w:code="9"/>
      <w:pgMar w:top="1134" w:right="851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9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6"/>
  </w:num>
  <w:num w:numId="5">
    <w:abstractNumId w:val="22"/>
  </w:num>
  <w:num w:numId="6">
    <w:abstractNumId w:val="10"/>
  </w:num>
  <w:num w:numId="7">
    <w:abstractNumId w:val="0"/>
  </w:num>
  <w:num w:numId="8">
    <w:abstractNumId w:val="35"/>
  </w:num>
  <w:num w:numId="9">
    <w:abstractNumId w:val="37"/>
  </w:num>
  <w:num w:numId="10">
    <w:abstractNumId w:val="20"/>
  </w:num>
  <w:num w:numId="11">
    <w:abstractNumId w:val="19"/>
  </w:num>
  <w:num w:numId="12">
    <w:abstractNumId w:val="32"/>
  </w:num>
  <w:num w:numId="13">
    <w:abstractNumId w:val="25"/>
  </w:num>
  <w:num w:numId="14">
    <w:abstractNumId w:val="14"/>
  </w:num>
  <w:num w:numId="15">
    <w:abstractNumId w:val="21"/>
  </w:num>
  <w:num w:numId="16">
    <w:abstractNumId w:val="2"/>
  </w:num>
  <w:num w:numId="17">
    <w:abstractNumId w:val="18"/>
  </w:num>
  <w:num w:numId="18">
    <w:abstractNumId w:val="13"/>
  </w:num>
  <w:num w:numId="19">
    <w:abstractNumId w:val="23"/>
  </w:num>
  <w:num w:numId="20">
    <w:abstractNumId w:val="36"/>
  </w:num>
  <w:num w:numId="21">
    <w:abstractNumId w:val="3"/>
  </w:num>
  <w:num w:numId="22">
    <w:abstractNumId w:val="24"/>
  </w:num>
  <w:num w:numId="23">
    <w:abstractNumId w:val="27"/>
  </w:num>
  <w:num w:numId="24">
    <w:abstractNumId w:val="30"/>
  </w:num>
  <w:num w:numId="25">
    <w:abstractNumId w:val="33"/>
  </w:num>
  <w:num w:numId="26">
    <w:abstractNumId w:val="34"/>
  </w:num>
  <w:num w:numId="27">
    <w:abstractNumId w:val="31"/>
  </w:num>
  <w:num w:numId="28">
    <w:abstractNumId w:val="9"/>
  </w:num>
  <w:num w:numId="29">
    <w:abstractNumId w:val="1"/>
  </w:num>
  <w:num w:numId="30">
    <w:abstractNumId w:val="12"/>
  </w:num>
  <w:num w:numId="31">
    <w:abstractNumId w:val="8"/>
  </w:num>
  <w:num w:numId="32">
    <w:abstractNumId w:val="29"/>
  </w:num>
  <w:num w:numId="33">
    <w:abstractNumId w:val="11"/>
  </w:num>
  <w:num w:numId="34">
    <w:abstractNumId w:val="16"/>
  </w:num>
  <w:num w:numId="35">
    <w:abstractNumId w:val="7"/>
  </w:num>
  <w:num w:numId="36">
    <w:abstractNumId w:val="17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0629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0E8E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3C5C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3FCC"/>
    <w:rsid w:val="00326E3B"/>
    <w:rsid w:val="003311E6"/>
    <w:rsid w:val="0033216C"/>
    <w:rsid w:val="00335673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2040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49FF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B7711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2206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241E"/>
    <w:rsid w:val="0096368F"/>
    <w:rsid w:val="0096426A"/>
    <w:rsid w:val="009673EA"/>
    <w:rsid w:val="00976E1F"/>
    <w:rsid w:val="00981903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27F58"/>
    <w:rsid w:val="00A35605"/>
    <w:rsid w:val="00A4262E"/>
    <w:rsid w:val="00A42CE2"/>
    <w:rsid w:val="00A50EF4"/>
    <w:rsid w:val="00A54F14"/>
    <w:rsid w:val="00A555BC"/>
    <w:rsid w:val="00A56111"/>
    <w:rsid w:val="00A57CA3"/>
    <w:rsid w:val="00A60AB5"/>
    <w:rsid w:val="00A62B75"/>
    <w:rsid w:val="00A63F7E"/>
    <w:rsid w:val="00A647F3"/>
    <w:rsid w:val="00A70B47"/>
    <w:rsid w:val="00A733F1"/>
    <w:rsid w:val="00A763EE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1043E"/>
    <w:rsid w:val="00B10C8E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3730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3A87"/>
    <w:rsid w:val="00C057F4"/>
    <w:rsid w:val="00C0624B"/>
    <w:rsid w:val="00C128FC"/>
    <w:rsid w:val="00C1394B"/>
    <w:rsid w:val="00C225F4"/>
    <w:rsid w:val="00C2790B"/>
    <w:rsid w:val="00C3347C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D70EF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3335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5533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C3347C"/>
  </w:style>
  <w:style w:type="paragraph" w:customStyle="1" w:styleId="Standard">
    <w:name w:val="Standard"/>
    <w:rsid w:val="00C334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347C"/>
    <w:pPr>
      <w:spacing w:after="140" w:line="276" w:lineRule="auto"/>
    </w:pPr>
  </w:style>
  <w:style w:type="paragraph" w:customStyle="1" w:styleId="TableContents">
    <w:name w:val="Table Contents"/>
    <w:basedOn w:val="Standard"/>
    <w:rsid w:val="00C3347C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C3347C"/>
  </w:style>
  <w:style w:type="paragraph" w:customStyle="1" w:styleId="Standard">
    <w:name w:val="Standard"/>
    <w:rsid w:val="00C334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347C"/>
    <w:pPr>
      <w:spacing w:after="140" w:line="276" w:lineRule="auto"/>
    </w:pPr>
  </w:style>
  <w:style w:type="paragraph" w:customStyle="1" w:styleId="TableContents">
    <w:name w:val="Table Contents"/>
    <w:basedOn w:val="Standard"/>
    <w:rsid w:val="00C3347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A7B4-C2BC-46DD-BACE-0E83DA7D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3</cp:revision>
  <cp:lastPrinted>2024-05-30T10:50:00Z</cp:lastPrinted>
  <dcterms:created xsi:type="dcterms:W3CDTF">2024-05-30T10:27:00Z</dcterms:created>
  <dcterms:modified xsi:type="dcterms:W3CDTF">2024-05-30T11:59:00Z</dcterms:modified>
</cp:coreProperties>
</file>